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Indent"/>
        <w:widowControl w:val="false"/>
        <w:spacing w:lineRule="exact" w:line="240" w:before="600" w:after="120"/>
        <w:ind w:left="3960" w:right="0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CONTRATO Nº __________ QUE ENTRE SI CELEBRAM A __________, POR INTERMÉDIO DA__, E A COMPANHIA DE SANEAMENTO AMBIENTAL DO DISTRITO FEDERAL – CAESB, OBJETIVANDO A PRESTAÇÃO DOS SERVIÇOS PÚBLICOS DE ABASTECIMENTO DE ÁGUA E ESGOTAMENTO SANITÁRIO.</w:t>
      </w:r>
    </w:p>
    <w:p>
      <w:pPr>
        <w:pStyle w:val="Normal"/>
        <w:widowControl w:val="false"/>
        <w:spacing w:before="840" w:after="120"/>
        <w:ind w:firstLine="1077" w:right="0"/>
        <w:jc w:val="both"/>
        <w:rPr/>
      </w:pPr>
      <w:r>
        <w:rPr>
          <w:rFonts w:cs="Arial" w:ascii="Arial" w:hAnsi="Arial"/>
          <w:sz w:val="22"/>
          <w:szCs w:val="22"/>
        </w:rPr>
        <w:t xml:space="preserve">Pelo presente instrumento, a _________________, por intermédio da </w:t>
      </w:r>
      <w:r>
        <w:rPr>
          <w:rFonts w:cs="Arial" w:ascii="Arial" w:hAnsi="Arial"/>
          <w:b/>
          <w:bCs/>
          <w:sz w:val="22"/>
          <w:szCs w:val="22"/>
        </w:rPr>
        <w:t>________________________________________</w:t>
      </w:r>
      <w:r>
        <w:rPr>
          <w:rFonts w:cs="Arial" w:ascii="Arial" w:hAnsi="Arial"/>
          <w:sz w:val="22"/>
          <w:szCs w:val="22"/>
        </w:rPr>
        <w:t>, com sede no _______________________________________, Brasília/DF, CEP ___________, telefone (61) ________________, inscrita no CNPJ sob o nº __________________, neste ato representada por __________________________________</w:t>
      </w:r>
      <w:r>
        <w:rPr>
          <w:rFonts w:cs="Arial" w:ascii="Arial" w:hAnsi="Arial"/>
          <w:smallCaps/>
          <w:sz w:val="22"/>
          <w:szCs w:val="22"/>
        </w:rPr>
        <w:t>,</w:t>
      </w:r>
      <w:r>
        <w:rPr>
          <w:rFonts w:cs="Arial" w:ascii="Arial" w:hAnsi="Arial"/>
          <w:b/>
          <w:bCs/>
          <w:smallCaps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portadora da Cédula de Identidade nº _________________ – SSP/__, inscrita no CPF sob o nº __________________, no uso das atribuições que lhe conferem a ________________________________________________, doravante denominada CONSUMIDOR, e a </w:t>
      </w:r>
      <w:r>
        <w:rPr>
          <w:rFonts w:cs="Arial" w:ascii="Arial" w:hAnsi="Arial"/>
          <w:b/>
          <w:bCs/>
          <w:sz w:val="22"/>
          <w:szCs w:val="22"/>
        </w:rPr>
        <w:t>COMPANHIA DE SANEAMENTO AMBIENTAL DO DISTRITO FEDERAL – CAESB</w:t>
      </w:r>
      <w:r>
        <w:rPr>
          <w:rFonts w:cs="Arial" w:ascii="Arial" w:hAnsi="Arial"/>
          <w:sz w:val="22"/>
          <w:szCs w:val="22"/>
        </w:rPr>
        <w:t xml:space="preserve">, com sede no Centro de Gestão Águas Emendadas, Av. Sibipiruna, lotes 13/21, Águas Claras, Brasília/DF, CEP 71.928-720, Inscrição Estadual nº 07.324.667-001-67, inscrita no CNPJ sob o nº 00.082.024/0001-37, neste ato representada pelo seu Diretor Financeiro e Comercial, </w:t>
      </w:r>
      <w:r>
        <w:rPr>
          <w:rFonts w:cs="Arial" w:ascii="Arial" w:hAnsi="Arial"/>
          <w:b/>
          <w:sz w:val="22"/>
          <w:szCs w:val="22"/>
        </w:rPr>
        <w:t>Senhor MARCUS PEREIRA AUCELIO</w:t>
      </w:r>
      <w:r>
        <w:rPr>
          <w:rFonts w:cs="Arial" w:ascii="Arial" w:hAnsi="Arial"/>
          <w:sz w:val="22"/>
          <w:szCs w:val="22"/>
        </w:rPr>
        <w:t xml:space="preserve">, e pelo seu Superintendente de Comercialização, </w:t>
      </w:r>
      <w:r>
        <w:rPr>
          <w:rFonts w:cs="Arial" w:ascii="Arial" w:hAnsi="Arial"/>
          <w:b/>
          <w:sz w:val="22"/>
          <w:szCs w:val="22"/>
        </w:rPr>
        <w:t>Senhor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DIEGO REZENDE FERREIRA</w:t>
      </w:r>
      <w:r>
        <w:rPr>
          <w:rFonts w:cs="Arial" w:ascii="Arial" w:hAnsi="Arial"/>
          <w:sz w:val="22"/>
          <w:szCs w:val="22"/>
        </w:rPr>
        <w:t xml:space="preserve">, ambos residentes e domiciliados em Brasília/DF, doravante denominada CAESB; celebram o presente Contrato, com base na </w:t>
      </w:r>
      <w:r>
        <w:rPr>
          <w:rFonts w:cs="Arial" w:ascii="Arial (W1);Arial" w:hAnsi="Arial (W1);Arial"/>
          <w:b/>
          <w:bCs/>
          <w:i/>
          <w:iCs/>
          <w:sz w:val="22"/>
          <w:szCs w:val="22"/>
        </w:rPr>
        <w:t>nova Lei de Licitações e Contratos,</w:t>
      </w:r>
      <w:r>
        <w:rPr>
          <w:rFonts w:cs="Calibri" w:ascii="Calibri" w:hAnsi="Calibri"/>
          <w:b/>
          <w:bCs/>
          <w:i/>
          <w:iCs/>
          <w:color w:val="000000"/>
        </w:rPr>
        <w:t xml:space="preserve"> Lei nº 14.133/2021,</w:t>
      </w:r>
      <w:r>
        <w:rPr>
          <w:rFonts w:cs="Arial" w:ascii="Arial" w:hAnsi="Arial"/>
          <w:sz w:val="22"/>
          <w:szCs w:val="22"/>
        </w:rPr>
        <w:t xml:space="preserve"> nas Leis nº 8.078, de 11 de setembro de 1990, e 8.987, de 13 de fevereiro de 1995, nas Leis Distritais nº 4.285/2008, e 442, de 10 de maio de 1993, no Contrato de Concessão nº 01/2006 e na Resolução 14/2011, da Agência Reguladora de Águas do Distrito Federal – Adasa, e nas demais normas legais e regulamentares atinentes à matéria, de acordo com as cláusulas e condições a seguir enumeradas:</w:t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PRIMEIRA – DO OBJETO</w:t>
      </w:r>
    </w:p>
    <w:p>
      <w:pPr>
        <w:pStyle w:val="Style15"/>
        <w:widowControl/>
        <w:spacing w:lineRule="auto" w:line="240"/>
        <w:ind w:left="567" w:right="0"/>
        <w:rPr/>
      </w:pPr>
      <w:r>
        <w:rPr>
          <w:rFonts w:cs="Arial"/>
          <w:sz w:val="22"/>
          <w:szCs w:val="22"/>
        </w:rPr>
        <w:t xml:space="preserve">O presente Contrato tem por objeto a prestação, de forma contínua, dos serviços públicos de abastecimento de água, esgotamento sanitário e outros serviços para as dependências do CONSUMIDOR na unidade de consumo localizada no </w:t>
      </w:r>
      <w:r>
        <w:rPr>
          <w:rStyle w:val="FontStyle28"/>
          <w:color w:val="FF0000"/>
          <w:sz w:val="22"/>
          <w:szCs w:val="22"/>
          <w:lang w:val="pt-PT" w:eastAsia="pt-PT"/>
        </w:rPr>
        <w:t>[LISTAR TODAS AS INSCRIÇÕES E ENDEREÇOS DAS UNIDADES USUÁRIAS]</w:t>
      </w:r>
      <w:r>
        <w:rPr>
          <w:rFonts w:cs="Arial" w:ascii="Arial (W1);Arial" w:hAnsi="Arial (W1);Arial"/>
          <w:sz w:val="22"/>
        </w:rPr>
        <w:t>.</w:t>
      </w:r>
    </w:p>
    <w:p>
      <w:pPr>
        <w:pStyle w:val="BodyText"/>
        <w:widowControl w:val="false"/>
        <w:spacing w:lineRule="exact" w:line="240" w:before="120" w:after="120"/>
        <w:ind w:firstLine="1080" w:right="0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SEGUNDA – DO FORNECIMENTO</w:t>
      </w:r>
    </w:p>
    <w:p>
      <w:pPr>
        <w:pStyle w:val="BodyText"/>
        <w:widowControl w:val="false"/>
        <w:spacing w:lineRule="exact" w:line="240" w:before="120" w:after="120"/>
        <w:ind w:firstLine="1080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 CAESB executará de forma contínua os serviços de que trata a cláusula primeira e, em intervalos regulares, efetuará a leitura do hidrômetro da unidade de consumo para apurar o volume de água fornecido no período de referência. </w:t>
      </w:r>
    </w:p>
    <w:p>
      <w:pPr>
        <w:pStyle w:val="BodyText"/>
        <w:widowControl w:val="false"/>
        <w:spacing w:lineRule="exact" w:line="240" w:before="120" w:after="120"/>
        <w:rPr>
          <w:rFonts w:ascii="Arial (W1);Arial" w:hAnsi="Arial (W1);Arial" w:cs="Arial"/>
          <w:sz w:val="22"/>
        </w:rPr>
      </w:pPr>
      <w:r>
        <w:rPr>
          <w:rFonts w:cs="Arial" w:ascii="Arial" w:hAnsi="Arial"/>
          <w:b/>
          <w:sz w:val="22"/>
          <w:szCs w:val="22"/>
        </w:rPr>
        <w:t xml:space="preserve">Parágrafo primeiro. </w:t>
      </w:r>
      <w:r>
        <w:rPr>
          <w:rFonts w:cs="Arial" w:ascii="Arial" w:hAnsi="Arial"/>
          <w:sz w:val="22"/>
          <w:szCs w:val="22"/>
        </w:rPr>
        <w:t xml:space="preserve">O consumo de água, expresso em metros cúbicos (m³), será apurado pela diferença entre duas leituras consecutivas do mesmo hidrômetro, desprezadas frações de metro cúbico.  </w:t>
      </w:r>
      <w:r>
        <w:rPr>
          <w:rFonts w:cs="Arial" w:ascii="Arial" w:hAnsi="Arial"/>
          <w:b/>
          <w:bCs/>
          <w:i/>
          <w:iCs/>
          <w:sz w:val="22"/>
          <w:szCs w:val="22"/>
        </w:rPr>
        <w:t>Na apuração do consumo medido as frações de metro cúbico deverão ser desprezadas sem prejuízo de integrarem a apuração do período subsequente.</w:t>
      </w:r>
    </w:p>
    <w:p>
      <w:pPr>
        <w:pStyle w:val="BodyText"/>
        <w:widowControl w:val="false"/>
        <w:spacing w:lineRule="exact" w:line="240" w:before="120" w:after="12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TERCEIRA – DOS PRINCIPAIS DIREITOS DO CONSUMIDOR</w:t>
      </w:r>
    </w:p>
    <w:p>
      <w:pPr>
        <w:pStyle w:val="BodyText"/>
        <w:widowControl w:val="false"/>
        <w:spacing w:lineRule="exact" w:line="240" w:before="120" w:after="0"/>
        <w:ind w:firstLine="1077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São direitos do CONSUMIDOR, sem prejuízo de outros garantidos em normas legais ou regulamentares: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/>
      </w:pPr>
      <w:r>
        <w:rPr>
          <w:rFonts w:cs="Arial" w:ascii="Arial" w:hAnsi="Arial"/>
          <w:bCs/>
          <w:sz w:val="22"/>
          <w:szCs w:val="22"/>
        </w:rPr>
        <w:t xml:space="preserve">I – receber serviço adequado, assim considerado aquele que satisfaz as condições de regularidade, continuidade, eficiência, segurança, atualidade, generalidade, cortesia na sua prestação e modicidade das tarifas; 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II – receber do poder concedente e da CAESB informações para a defesa de interesses individuais e coletivos;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III – obter com presteza a ligação da unidade de consumo às redes de água ou de esgotos;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IV – receber os serviços dentro das condições e padrões estabelecidos em normas legais e regulamentares;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V – obter informações detalhadas relativas às suas contas de abastecimento de água e esgotamento sanitário e sobre os serviços realizados pela CAESB;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/>
      </w:pPr>
      <w:r>
        <w:rPr>
          <w:rFonts w:cs="Arial" w:ascii="Arial" w:hAnsi="Arial"/>
          <w:bCs/>
          <w:sz w:val="22"/>
          <w:szCs w:val="22"/>
        </w:rPr>
        <w:t>VI – obter verificações gratuitas, da CAESB, quando o resultado constatar erro fora da faixa de variação admissível de –5% a +5% nos instrumentos de medição, independente do intervalo de tempo;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VII – ser previamente informado, pela CAESB, de quaisquer alterações e interrupções na prestação dos serviços decorrentes de manutenção programada, com indicação clara dos períodos e alterações previstas, bem como das medidas mitigadoras a serem oferecidas;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/>
      </w:pPr>
      <w:r>
        <w:rPr>
          <w:rFonts w:cs="Arial" w:ascii="Arial" w:hAnsi="Arial"/>
          <w:bCs/>
          <w:sz w:val="22"/>
          <w:szCs w:val="22"/>
        </w:rPr>
        <w:t>VIII – ser informado, diretamente ou por instrumento de divulgação adequado, de acidentes ocorridos no sistema que afetem a prestação regular dos serviços, com indicação clara dos períodos e alterações previstas e das medidas mitigadoras;</w:t>
      </w:r>
    </w:p>
    <w:p>
      <w:pPr>
        <w:pStyle w:val="BodyText"/>
        <w:widowControl w:val="false"/>
        <w:spacing w:lineRule="exact" w:line="240" w:before="120" w:after="0"/>
        <w:ind w:hanging="3"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IX – obter serviço específico, gratuito, eficiente e de fácil acesso, para atendimento às reclamações do CONSUMIDOR com presteza.</w:t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QUARTA – DOS PRINCIPAIS DEVERES DO CONSUMIDOR</w:t>
      </w:r>
    </w:p>
    <w:p>
      <w:pPr>
        <w:pStyle w:val="BodyText"/>
        <w:widowControl w:val="false"/>
        <w:spacing w:lineRule="exact" w:line="240" w:before="120" w:after="0"/>
        <w:ind w:firstLine="1077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São deveres do CONSUMIDOR, sem prejuízo de outros previstos em normas legais ou regulamentares:</w:t>
      </w:r>
    </w:p>
    <w:p>
      <w:pPr>
        <w:pStyle w:val="BodyText"/>
        <w:widowControl w:val="false"/>
        <w:spacing w:lineRule="exact" w:line="240" w:before="120" w:after="0"/>
        <w:ind w:left="540" w:right="0"/>
        <w:rPr/>
      </w:pPr>
      <w:r>
        <w:rPr>
          <w:rFonts w:cs="Arial" w:ascii="Arial" w:hAnsi="Arial"/>
          <w:bCs/>
          <w:sz w:val="22"/>
          <w:szCs w:val="22"/>
        </w:rPr>
        <w:t>I – levar ao conhecimento do poder público e da CAESB as irregularidades de que tenha conhecimento, referentes ao serviço prestado;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II – comunicar às autoridades competentes os atos ilícitos praticados pela CAESB na prestação do serviço;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III – contribuir para a permanência das boas condições dos bens públicos através dos quais lhe são prestados os serviços;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IV – utilizar, de modo adequado, os serviços de abastecimento de água e esgotamento sanitário, mantendo em condições adequadas as instalações internas da respectiva unidade de consumo;</w:t>
      </w:r>
    </w:p>
    <w:p>
      <w:pPr>
        <w:pStyle w:val="BodyText"/>
        <w:widowControl w:val="false"/>
        <w:spacing w:lineRule="exact" w:line="240" w:before="120" w:after="0"/>
        <w:ind w:left="540" w:right="0"/>
        <w:rPr/>
      </w:pPr>
      <w:r>
        <w:rPr>
          <w:rFonts w:cs="Arial" w:ascii="Arial" w:hAnsi="Arial"/>
          <w:bCs/>
          <w:sz w:val="22"/>
          <w:szCs w:val="22"/>
        </w:rPr>
        <w:t>V – colaborar com a preservação dos recursos hídricos, controlando os desperdícios e perdas de sua utilização;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VI – observar, no uso dos sistemas de saneamento básico, os padrões permitidos para lançamento na rede coletora, responsabilizando-se por todo e qualquer dano causado ao sistema e aos recursos hídricos por lançamentos indevidos;</w:t>
      </w:r>
    </w:p>
    <w:p>
      <w:pPr>
        <w:pStyle w:val="BodyText"/>
        <w:widowControl w:val="false"/>
        <w:spacing w:lineRule="exact" w:line="240" w:before="120" w:after="0"/>
        <w:ind w:left="540" w:right="0"/>
        <w:rPr/>
      </w:pPr>
      <w:r>
        <w:rPr>
          <w:rFonts w:cs="Arial" w:ascii="Arial" w:hAnsi="Arial"/>
          <w:bCs/>
          <w:sz w:val="22"/>
          <w:szCs w:val="22"/>
        </w:rPr>
        <w:t>VII – pagar, dentro dos prazos, as faturas referentes aos serviços de abastecimento de água e esgotamento sanitário e a outros realizados pela CAESB, conforme os valores estabelecidos em normas legais e regulamentares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VIII – evitar que pessoas não-autorizadas pela CAESB realizem serviços de instalação, reparação, substituição ou remoção de hidrômetros, bem como retirem ou substituam os respectivos selos;</w:t>
      </w:r>
    </w:p>
    <w:p>
      <w:pPr>
        <w:pStyle w:val="BodyText"/>
        <w:widowControl w:val="false"/>
        <w:spacing w:lineRule="exact" w:line="240" w:before="120" w:after="0"/>
        <w:ind w:left="540" w:right="0"/>
        <w:rPr/>
      </w:pPr>
      <w:r>
        <w:rPr>
          <w:rFonts w:cs="Arial" w:ascii="Arial" w:hAnsi="Arial"/>
          <w:bCs/>
          <w:sz w:val="22"/>
          <w:szCs w:val="22"/>
        </w:rPr>
        <w:t>IX – solicitar à CAESB a substituição do hidrômetro em decorrência de danos, avarias, furto ou perda total, sem prejuízo das multas a que estiver sujeito em tais casos;</w:t>
      </w:r>
    </w:p>
    <w:p>
      <w:pPr>
        <w:pStyle w:val="BodyText"/>
        <w:widowControl w:val="false"/>
        <w:spacing w:lineRule="exact" w:line="240" w:before="120" w:after="0"/>
        <w:ind w:left="540" w:right="0"/>
        <w:rPr/>
      </w:pPr>
      <w:r>
        <w:rPr>
          <w:rFonts w:cs="Arial" w:ascii="Arial" w:hAnsi="Arial"/>
          <w:bCs/>
          <w:sz w:val="22"/>
          <w:szCs w:val="22"/>
        </w:rPr>
        <w:t>X – permitir o acesso de empregados e representantes da CAESB a suas instalações, quando necessário realizar serviços relacionados ao objeto deste Contrato.</w:t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QUINTA – DA SUSPENSÃO DOS SERVIÇOS</w:t>
      </w:r>
    </w:p>
    <w:p>
      <w:pPr>
        <w:pStyle w:val="BodyText"/>
        <w:widowControl w:val="false"/>
        <w:spacing w:lineRule="exact" w:line="240" w:before="120" w:after="0"/>
        <w:ind w:firstLine="1077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Não se caracteriza como descontinuidade dos serviços a sua interrupção em situação de emergência ou, após prévio aviso, quando: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 – por inadimplemento do CONSUMIDOR, caracterizado </w:t>
      </w:r>
      <w:r>
        <w:rPr>
          <w:rFonts w:cs="Arial" w:ascii="Arial" w:hAnsi="Arial"/>
          <w:b/>
          <w:bCs/>
          <w:sz w:val="22"/>
          <w:szCs w:val="22"/>
        </w:rPr>
        <w:t>pelo atraso igual ou superior a 60 (sessenta) dias no pagamento de fatura mensal;</w:t>
      </w:r>
    </w:p>
    <w:p>
      <w:pPr>
        <w:pStyle w:val="BodyText"/>
        <w:widowControl w:val="false"/>
        <w:spacing w:lineRule="exact" w:line="240" w:before="120" w:after="0"/>
        <w:ind w:left="540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II – motivada por razões de ordem técnica ou de segurança das instalações.</w:t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SEXTA – DAS TARIFAS</w:t>
      </w:r>
    </w:p>
    <w:p>
      <w:pPr>
        <w:pStyle w:val="BodyText"/>
        <w:widowControl w:val="false"/>
        <w:spacing w:lineRule="exact" w:line="240" w:before="120" w:after="120"/>
        <w:ind w:firstLine="1077" w:right="0"/>
        <w:rPr/>
      </w:pPr>
      <w:r>
        <w:rPr>
          <w:rFonts w:cs="Arial" w:ascii="Arial" w:hAnsi="Arial"/>
          <w:sz w:val="22"/>
          <w:szCs w:val="22"/>
        </w:rPr>
        <w:t xml:space="preserve">A cobrança do serviço de abastecimento de água obedecerá à estrutura tarifária atualizada, homologada pela Agência Reguladora de Águas do Distrito Federal – Adasa, aplicando-se ao CONSUMIDOR a tarifa correspondente à categoria em que se enquadrar o imóvel. </w:t>
      </w:r>
    </w:p>
    <w:p>
      <w:pPr>
        <w:pStyle w:val="BodyText"/>
        <w:widowControl w:val="false"/>
        <w:spacing w:lineRule="exact" w:line="240" w:before="120" w:after="120"/>
        <w:rPr/>
      </w:pPr>
      <w:r>
        <w:rPr>
          <w:rFonts w:cs="Arial" w:ascii="Arial" w:hAnsi="Arial"/>
          <w:b/>
          <w:bCs/>
          <w:sz w:val="22"/>
          <w:szCs w:val="22"/>
        </w:rPr>
        <w:t xml:space="preserve">Parágrafo único. </w:t>
      </w:r>
      <w:r>
        <w:rPr>
          <w:rFonts w:cs="Arial" w:ascii="Arial" w:hAnsi="Arial"/>
          <w:sz w:val="22"/>
          <w:szCs w:val="22"/>
        </w:rPr>
        <w:t>O cálculo da cobrança pelo serviço de esgotamento sanitário será igual a 100% (cem por cento) da cobrança de água.</w:t>
      </w:r>
    </w:p>
    <w:p>
      <w:pPr>
        <w:pStyle w:val="BodyText"/>
        <w:widowControl w:val="false"/>
        <w:spacing w:lineRule="exact" w:line="240" w:before="360" w:after="0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SÉTIMA – DOS REAJUSTES E REVISÕES DE TARIFAS</w:t>
      </w:r>
    </w:p>
    <w:p>
      <w:pPr>
        <w:pStyle w:val="BodyText"/>
        <w:widowControl w:val="false"/>
        <w:spacing w:lineRule="exact" w:line="240" w:before="120" w:after="0"/>
        <w:ind w:firstLine="1077" w:right="0"/>
        <w:rPr/>
      </w:pPr>
      <w:r>
        <w:rPr>
          <w:rFonts w:cs="Arial" w:ascii="Arial" w:hAnsi="Arial"/>
          <w:sz w:val="22"/>
          <w:szCs w:val="22"/>
        </w:rPr>
        <w:t xml:space="preserve">Os reajustes ou revisões das tarifas praticadas pela CAESB serão analisados e homologados pela Adasa, obedecendo a critérios e periodicidade definidos por esta agência reguladora, sem qualquer interferência do CONSUMIDOR e independente de sua anuência. </w:t>
      </w:r>
    </w:p>
    <w:p>
      <w:pPr>
        <w:pStyle w:val="BodyText"/>
        <w:widowControl w:val="false"/>
        <w:spacing w:lineRule="exact" w:line="240" w:before="360" w:after="120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OITAVA – DO FATURAMENTO</w:t>
      </w:r>
    </w:p>
    <w:p>
      <w:pPr>
        <w:pStyle w:val="BodyText"/>
        <w:widowControl w:val="false"/>
        <w:spacing w:lineRule="exact" w:line="240" w:before="120" w:after="120"/>
        <w:ind w:firstLine="1077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 CAESB emitirá fatura mensal dos serviços objeto deste contrato, com base no consumo apurado e na tarifa atualizada correspondente à classificação e à faixa de consumo do CONSUMIDOR.</w:t>
      </w:r>
    </w:p>
    <w:p>
      <w:pPr>
        <w:pStyle w:val="BodyText"/>
        <w:widowControl w:val="false"/>
        <w:spacing w:lineRule="exact" w:line="240" w:before="120" w:after="120"/>
        <w:rPr>
          <w:rFonts w:ascii="Arial" w:hAnsi="Arial" w:cs="Arial"/>
          <w:strike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Parágrafo único. </w:t>
      </w:r>
      <w:r>
        <w:rPr>
          <w:rFonts w:cs="Arial" w:ascii="Arial" w:hAnsi="Arial"/>
          <w:sz w:val="22"/>
          <w:szCs w:val="22"/>
        </w:rPr>
        <w:t>Na fatura de água, a CAESB deverá informar o volume de água consumido no mês, o mês de apuração do volume de água faturado, datas de leitura do hidrômetro (mês anterior e atual), o número do hidrômetro e os valores individualizados dos tributos incidentes sobre o consumo de água e sobre o faturamento relativo ao esgotamento sanitário.</w:t>
      </w:r>
    </w:p>
    <w:p>
      <w:pPr>
        <w:pStyle w:val="BodyText"/>
        <w:widowControl w:val="false"/>
        <w:spacing w:lineRule="exact" w:line="240" w:before="360" w:after="120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NONA – DO PAGAMENTO</w:t>
      </w:r>
    </w:p>
    <w:p>
      <w:pPr>
        <w:pStyle w:val="BodyText"/>
        <w:widowControl w:val="false"/>
        <w:spacing w:lineRule="exact" w:line="240" w:before="120" w:after="120"/>
        <w:ind w:firstLine="1080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 pagamento das faturas mensais será efetuado mediante Ordem Bancária intra-Siafi, em favor da Caesb, até a data de vencimento.</w:t>
      </w:r>
    </w:p>
    <w:p>
      <w:pPr>
        <w:pStyle w:val="BodyText"/>
        <w:widowControl w:val="false"/>
        <w:spacing w:lineRule="exact" w:line="240" w:before="120" w:after="120"/>
        <w:rPr>
          <w:rFonts w:ascii="Arial" w:hAnsi="Arial" w:cs="Arial"/>
          <w:color w:val="FF0000"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Parágrafo único. </w:t>
      </w:r>
      <w:r>
        <w:rPr>
          <w:rFonts w:cs="Arial" w:ascii="Arial" w:hAnsi="Arial"/>
          <w:sz w:val="22"/>
          <w:szCs w:val="22"/>
        </w:rPr>
        <w:t>O não-pagamento das faturas até a data de vencimento sujeitará o CONSUMIDOR a multa de 2% ao mês, juros de mora de 0,033% por dia de atraso e correção monetária com base no Índice Nacional de Preços ao Consumidor – INPC, do Instituto Brasileiro de Geografia e Estatística – IBGE, sem prejuízo de outras penalidades previstas em normas legais ou regulamentares.</w:t>
      </w:r>
    </w:p>
    <w:p>
      <w:pPr>
        <w:pStyle w:val="Normal"/>
        <w:widowControl w:val="false"/>
        <w:spacing w:before="0" w:after="240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cs="Arial" w:ascii="Arial" w:hAnsi="Arial"/>
          <w:b/>
          <w:color w:val="FF0000"/>
          <w:sz w:val="22"/>
          <w:szCs w:val="22"/>
        </w:rPr>
      </w:r>
    </w:p>
    <w:p>
      <w:pPr>
        <w:pStyle w:val="Normal"/>
        <w:widowControl w:val="false"/>
        <w:spacing w:before="0" w:after="240"/>
        <w:rPr>
          <w:rFonts w:ascii="Arial" w:hAnsi="Arial" w:cs="Arial"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CLÁUSULA DÉCIMA – DO RECOLHIMENTO DAS CONTRIBUIÇÕES</w:t>
      </w:r>
    </w:p>
    <w:p>
      <w:pPr>
        <w:pStyle w:val="Normal"/>
        <w:widowControl w:val="false"/>
        <w:spacing w:before="0" w:after="24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ab/>
        <w:t>O CONSUMIDOR, por ser substituto tributário, realizará, por meio do SIAFI – Sistema Integrado de Administração Financeira do Governo Federal, o recolhimento dos tributos destacados na fatura até o dia 20 do mês subsequente ao pagamento, no CNPJ XX.XXX.XXX/XXXX-XX (CNPJ do Contratante).</w:t>
      </w:r>
    </w:p>
    <w:p>
      <w:pPr>
        <w:pStyle w:val="Normal"/>
        <w:widowControl w:val="false"/>
        <w:spacing w:before="0" w:after="240"/>
        <w:ind w:firstLine="708" w:righ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Informamos que a Caesb obteve imunidade tributária do IRPJ, por meio do processo 0052715-14.2015.4.01.3400, junto ao TRF. Assim, doravante, o recolhimento dos impostos em DARF deverá ser incluído por seus respectivos códigos individuais, quais sejam: 6228 (CSLL), 6243 (COFINS) e 6230 (PIS/PASEP).</w:t>
      </w:r>
    </w:p>
    <w:p>
      <w:pPr>
        <w:pStyle w:val="Normal"/>
        <w:widowControl w:val="false"/>
        <w:spacing w:before="0" w:after="240"/>
        <w:jc w:val="both"/>
        <w:rPr/>
      </w:pPr>
      <w:r>
        <w:rPr>
          <w:rFonts w:cs="Arial" w:ascii="Arial" w:hAnsi="Arial"/>
          <w:b/>
          <w:sz w:val="22"/>
          <w:szCs w:val="22"/>
        </w:rPr>
        <w:t>Parágrafo primeiro.</w:t>
      </w:r>
      <w:r>
        <w:rPr>
          <w:rFonts w:cs="Arial" w:ascii="Arial" w:hAnsi="Arial"/>
          <w:sz w:val="22"/>
          <w:szCs w:val="22"/>
        </w:rPr>
        <w:t xml:space="preserve"> O CONSUMIDOR enviará à Caesb, até o fim do mês de fevereiro, o resumo dos recolhimentos efetuados do exercício anterior.</w:t>
      </w:r>
    </w:p>
    <w:p>
      <w:pPr>
        <w:pStyle w:val="Normal"/>
        <w:widowControl w:val="false"/>
        <w:spacing w:before="0" w:after="240"/>
        <w:jc w:val="both"/>
        <w:rPr/>
      </w:pPr>
      <w:r>
        <w:rPr>
          <w:rFonts w:cs="Arial" w:ascii="Arial" w:hAnsi="Arial"/>
          <w:b/>
          <w:sz w:val="22"/>
          <w:szCs w:val="22"/>
        </w:rPr>
        <w:t xml:space="preserve">Parágrafo segundo. </w:t>
      </w:r>
      <w:r>
        <w:rPr>
          <w:rFonts w:cs="Arial" w:ascii="Arial" w:hAnsi="Arial"/>
          <w:sz w:val="22"/>
          <w:szCs w:val="22"/>
        </w:rPr>
        <w:t>Quando necessário, a Caesb poderá requerer ao CONSUMIDOR os resumos das declarações de retenções por competências, inclusive de exercícios anteriores, e este deverá enviá-los em até 5 (cinco) dias úteis.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360" w:after="120"/>
        <w:jc w:val="left"/>
        <w:rPr/>
      </w:pPr>
      <w:r>
        <w:rPr>
          <w:rFonts w:cs="Arial" w:ascii="Arial" w:hAnsi="Arial"/>
          <w:b/>
          <w:bCs/>
          <w:sz w:val="22"/>
          <w:szCs w:val="22"/>
        </w:rPr>
        <w:t>CLÁUSULA DÉCIMA PRIMEIRA – DA DOTAÇÃO ORÇAMENTÁRIA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120" w:after="120"/>
        <w:ind w:firstLine="1080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As despesas decorrentes da execução do objeto deste contrato, a cargo do CONSUMIDOR, _______________________________________.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120" w:after="120"/>
        <w:rPr/>
      </w:pPr>
      <w:r>
        <w:rPr>
          <w:rFonts w:cs="Arial" w:ascii="Arial" w:hAnsi="Arial"/>
          <w:b/>
          <w:bCs/>
          <w:sz w:val="22"/>
          <w:szCs w:val="22"/>
        </w:rPr>
        <w:t xml:space="preserve">Parágrafo único. </w:t>
      </w:r>
      <w:r>
        <w:rPr>
          <w:rFonts w:cs="Arial" w:ascii="Arial" w:hAnsi="Arial"/>
          <w:sz w:val="22"/>
          <w:szCs w:val="22"/>
        </w:rPr>
        <w:t>Foi emitida, em XX/XX/2023, a nota de empenho 2025NE000000, do tipo estimativo, no valor de R$ 00.000,00 (XXXXXX reais).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360" w:after="120"/>
        <w:jc w:val="left"/>
        <w:rPr/>
      </w:pPr>
      <w:r>
        <w:rPr>
          <w:rFonts w:cs="Arial" w:ascii="Arial" w:hAnsi="Arial"/>
          <w:b/>
          <w:bCs/>
          <w:sz w:val="22"/>
          <w:szCs w:val="22"/>
        </w:rPr>
        <w:t>CLÁUSULA DÉCIMA SEGUNDA – DA VIGÊNCIA E EFICÁCIA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120" w:after="120"/>
        <w:ind w:firstLine="1077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O contrato terá vigência por prazo indeterminado, conforme Artigo 109 da </w:t>
      </w:r>
      <w:r>
        <w:rPr>
          <w:rFonts w:cs="Calibri" w:ascii="Calibri" w:hAnsi="Calibri"/>
          <w:b/>
          <w:bCs/>
          <w:i/>
          <w:iCs/>
          <w:color w:val="000000"/>
        </w:rPr>
        <w:t>Lei nº 14.133/2021.</w:t>
      </w:r>
    </w:p>
    <w:p>
      <w:pPr>
        <w:pStyle w:val="BodyText"/>
        <w:widowControl w:val="false"/>
        <w:tabs>
          <w:tab w:val="clear" w:pos="708"/>
          <w:tab w:val="left" w:pos="2700" w:leader="none"/>
        </w:tabs>
        <w:spacing w:lineRule="exact" w:line="240" w:before="120" w:after="120"/>
        <w:rPr/>
      </w:pPr>
      <w:r>
        <w:rPr>
          <w:rFonts w:cs="Arial" w:ascii="Arial" w:hAnsi="Arial"/>
          <w:b/>
          <w:bCs/>
          <w:sz w:val="22"/>
          <w:szCs w:val="22"/>
        </w:rPr>
        <w:t xml:space="preserve">Parágrafo único. </w:t>
      </w:r>
      <w:r>
        <w:rPr>
          <w:rFonts w:cs="Arial" w:ascii="Arial" w:hAnsi="Arial"/>
          <w:sz w:val="22"/>
          <w:szCs w:val="22"/>
        </w:rPr>
        <w:t>Como condição de sua eficácia, o presente contrato e seus aditamentos deverão ser publicados no Diário Oficial da União, por extrato resumido, até o 5º dia útil do mês seguinte ao de sua assinatura, o que será providenciado pelo CONSUMIDOR às suas expensas.</w:t>
      </w:r>
    </w:p>
    <w:p>
      <w:pPr>
        <w:pStyle w:val="BodyText"/>
        <w:widowControl w:val="false"/>
        <w:spacing w:lineRule="exact" w:line="240" w:before="360" w:after="120"/>
        <w:jc w:val="left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CLÁUSULA DÉCIMA TERCEIRA – DA RESCISÃO</w:t>
        <w:tab/>
      </w:r>
    </w:p>
    <w:p>
      <w:pPr>
        <w:pStyle w:val="BodyText"/>
        <w:widowControl w:val="false"/>
        <w:spacing w:lineRule="exact" w:line="240" w:before="120" w:after="120"/>
        <w:ind w:firstLine="1077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Este contrato poderá ser rescindido nas seguintes situações:</w:t>
      </w:r>
    </w:p>
    <w:p>
      <w:pPr>
        <w:pStyle w:val="BodyText"/>
        <w:widowControl w:val="false"/>
        <w:numPr>
          <w:ilvl w:val="0"/>
          <w:numId w:val="2"/>
        </w:numPr>
        <w:tabs>
          <w:tab w:val="clear" w:pos="708"/>
          <w:tab w:val="left" w:pos="1440" w:leader="none"/>
        </w:tabs>
        <w:spacing w:lineRule="exact" w:line="240" w:before="120" w:after="12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solicitação do CONSUMIDOR, por escrito;</w:t>
      </w:r>
    </w:p>
    <w:p>
      <w:pPr>
        <w:pStyle w:val="BodyText"/>
        <w:widowControl w:val="false"/>
        <w:numPr>
          <w:ilvl w:val="0"/>
          <w:numId w:val="2"/>
        </w:numPr>
        <w:tabs>
          <w:tab w:val="clear" w:pos="708"/>
          <w:tab w:val="left" w:pos="1440" w:leader="none"/>
        </w:tabs>
        <w:spacing w:lineRule="exact" w:line="240" w:before="120" w:after="12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por ação da CAESB quando não forem cumpridas as obrigações contratuais por parte do usuário, ou, na ocorrência de eventuais impedimentos na prestação de serviços;</w:t>
      </w:r>
    </w:p>
    <w:p>
      <w:pPr>
        <w:pStyle w:val="BodyText"/>
        <w:widowControl w:val="false"/>
        <w:numPr>
          <w:ilvl w:val="0"/>
          <w:numId w:val="2"/>
        </w:numPr>
        <w:tabs>
          <w:tab w:val="clear" w:pos="708"/>
          <w:tab w:val="left" w:pos="1440" w:leader="none"/>
        </w:tabs>
        <w:spacing w:lineRule="exact" w:line="240" w:before="120" w:after="12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por inadimplência de qualquer das partes, observadas as peculiaridades do tipo de serviço prestado.</w:t>
      </w:r>
    </w:p>
    <w:p>
      <w:pPr>
        <w:pStyle w:val="BodyText"/>
        <w:widowControl w:val="false"/>
        <w:spacing w:lineRule="exact" w:line="240" w:before="360" w:after="120"/>
        <w:jc w:val="left"/>
        <w:rPr/>
      </w:pPr>
      <w:r>
        <w:rPr>
          <w:rFonts w:cs="Arial" w:ascii="Arial" w:hAnsi="Arial"/>
          <w:b/>
          <w:bCs/>
          <w:sz w:val="22"/>
          <w:szCs w:val="22"/>
        </w:rPr>
        <w:t>CLÁUSULA DÉCIMA QUARTA – DA FISCALIZAÇÃO</w:t>
      </w:r>
    </w:p>
    <w:p>
      <w:pPr>
        <w:pStyle w:val="BodyText"/>
        <w:widowControl w:val="false"/>
        <w:spacing w:lineRule="exact" w:line="240" w:before="120" w:after="120"/>
        <w:ind w:firstLine="1080" w:right="0"/>
        <w:rPr/>
      </w:pPr>
      <w:r>
        <w:rPr>
          <w:rFonts w:cs="Arial" w:ascii="Arial" w:hAnsi="Arial"/>
          <w:sz w:val="22"/>
          <w:szCs w:val="22"/>
        </w:rPr>
        <w:t>O CONSUMIDOR designará servidor para acompanhar e fiscalizar a execução deste contrato, o qual anotará em registro próprio todas as ocorrências relativas ao serviço contratado e tomará as providências cabíveis para sanar faltas ou defeitos observados.</w:t>
      </w:r>
    </w:p>
    <w:p>
      <w:pPr>
        <w:pStyle w:val="BodyText"/>
        <w:widowControl w:val="false"/>
        <w:spacing w:lineRule="exact" w:line="240" w:before="360" w:after="120"/>
        <w:rPr/>
      </w:pPr>
      <w:r>
        <w:rPr>
          <w:rFonts w:cs="Arial" w:ascii="Arial" w:hAnsi="Arial"/>
          <w:b/>
          <w:bCs/>
          <w:sz w:val="22"/>
          <w:szCs w:val="22"/>
        </w:rPr>
        <w:t>CLÁUSULA DÉCIMA QUINTA – DOS CASOS OMISSOS E LEGISLAÇÃO APLICÁVEL</w:t>
      </w:r>
    </w:p>
    <w:p>
      <w:pPr>
        <w:pStyle w:val="BodyText"/>
        <w:widowControl w:val="false"/>
        <w:spacing w:lineRule="exact" w:line="240" w:before="120" w:after="120"/>
        <w:ind w:firstLine="1080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 casos omissos serão resolvidos com base nas normas legais e regulamentares aplicáveis à matéria, especialmente as Leis nº 8.987/95 e 8.078/90, a Lei Distrital nº 4.285/2008 e a Resolução 14/2011 – Adasa.</w:t>
      </w:r>
    </w:p>
    <w:p>
      <w:pPr>
        <w:pStyle w:val="BodyText"/>
        <w:widowControl w:val="false"/>
        <w:spacing w:lineRule="exact" w:line="240" w:before="360" w:after="120"/>
        <w:jc w:val="left"/>
        <w:rPr/>
      </w:pPr>
      <w:r>
        <w:rPr>
          <w:rFonts w:cs="Arial" w:ascii="Arial" w:hAnsi="Arial"/>
          <w:b/>
          <w:bCs/>
          <w:sz w:val="22"/>
          <w:szCs w:val="22"/>
        </w:rPr>
        <w:t>CLÁUSULA DÉCIMA SEXTA – DO FORO</w:t>
      </w:r>
    </w:p>
    <w:p>
      <w:pPr>
        <w:pStyle w:val="BodyText"/>
        <w:widowControl w:val="false"/>
        <w:spacing w:lineRule="exact" w:line="240" w:before="120" w:after="120"/>
        <w:ind w:firstLine="1080" w:right="0"/>
        <w:rPr/>
      </w:pPr>
      <w:r>
        <w:rPr>
          <w:rFonts w:cs="Arial" w:ascii="Arial" w:hAnsi="Arial"/>
          <w:sz w:val="22"/>
          <w:szCs w:val="22"/>
        </w:rPr>
        <w:t xml:space="preserve">Fica eleito o foro da </w:t>
      </w:r>
      <w:r>
        <w:rPr>
          <w:rFonts w:cs="Arial" w:ascii="Arial" w:hAnsi="Arial"/>
          <w:b/>
          <w:bCs/>
          <w:sz w:val="22"/>
          <w:szCs w:val="22"/>
        </w:rPr>
        <w:t>Seção Judiciária do Distrito Federal</w:t>
      </w:r>
      <w:r>
        <w:rPr>
          <w:rFonts w:cs="Arial" w:ascii="Arial" w:hAnsi="Arial"/>
          <w:sz w:val="22"/>
          <w:szCs w:val="22"/>
        </w:rPr>
        <w:t>, para dirimir eventuais dúvidas relativas ao cumprimento deste pacto.</w:t>
      </w:r>
    </w:p>
    <w:p>
      <w:pPr>
        <w:pStyle w:val="BodyText"/>
        <w:widowControl w:val="false"/>
        <w:spacing w:lineRule="exact" w:line="240" w:before="360" w:after="120"/>
        <w:jc w:val="left"/>
        <w:rPr/>
      </w:pPr>
      <w:r>
        <w:rPr>
          <w:rFonts w:cs="Arial" w:ascii="Arial" w:hAnsi="Arial"/>
          <w:b/>
          <w:bCs/>
          <w:sz w:val="22"/>
          <w:szCs w:val="22"/>
        </w:rPr>
        <w:t>CLÁUSULA DÉCIMA SÉTIMA – DAS DISPOSIÇÕES FINAIS</w:t>
      </w:r>
    </w:p>
    <w:p>
      <w:pPr>
        <w:pStyle w:val="BodyText"/>
        <w:widowControl w:val="false"/>
        <w:spacing w:lineRule="exact" w:line="240" w:before="120" w:after="120"/>
        <w:ind w:firstLine="1080" w:right="0"/>
        <w:rPr>
          <w:rFonts w:ascii="Arial" w:hAnsi="Arial" w:cs="Arial"/>
          <w:color w:val="FF000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 lavratura deste Contrato foi autorizada, por parte do CONSUMIDOR, por ato de reconhecimento de inexigibilidade de licitação, registrada sob o nº xxxx formalizada nos autos de processo administrativo de nº XXXX.XXXXXX/XXXX-</w:t>
      </w:r>
      <w: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sz w:val="22"/>
          <w:szCs w:val="22"/>
          <w:rFonts w:cs="Arial" w:ascii="Arial" w:hAnsi="Arial"/>
          <w:lang w:val="pt-BR" w:eastAsia="pt-BR"/>
        </w:rPr>
        <w:instrText xml:space="preserve"> FORMTEXT </w:instrText>
      </w:r>
      <w:r>
        <w:rPr>
          <w:rFonts w:cs="Arial" w:ascii="Arial" w:hAnsi="Arial"/>
          <w:sz w:val="22"/>
          <w:szCs w:val="22"/>
          <w:lang w:val="pt-BR" w:eastAsia="pt-BR"/>
        </w:rPr>
      </w:r>
      <w:r>
        <w:rPr>
          <w:sz w:val="22"/>
          <w:szCs w:val="22"/>
          <w:rFonts w:cs="Arial" w:ascii="Arial" w:hAnsi="Arial"/>
          <w:lang w:val="pt-BR" w:eastAsia="pt-BR"/>
        </w:rPr>
        <w:fldChar w:fldCharType="separate"/>
      </w:r>
      <w:r>
        <w:rPr>
          <w:rFonts w:cs="Arial" w:ascii="Arial" w:hAnsi="Arial"/>
          <w:sz w:val="22"/>
          <w:szCs w:val="22"/>
          <w:lang w:val="pt-BR" w:eastAsia="pt-BR"/>
        </w:rPr>
        <w:t>     </w:t>
      </w:r>
      <w:r>
        <w:rPr>
          <w:rFonts w:cs="Arial" w:ascii="Arial" w:hAnsi="Arial"/>
          <w:sz w:val="22"/>
          <w:szCs w:val="22"/>
          <w:lang w:val="pt-BR" w:eastAsia="pt-BR"/>
        </w:rPr>
      </w:r>
      <w:r>
        <w:rPr>
          <w:sz w:val="22"/>
          <w:szCs w:val="22"/>
          <w:rFonts w:cs="Arial" w:ascii="Arial" w:hAnsi="Arial"/>
          <w:lang w:val="pt-BR" w:eastAsia="pt-BR"/>
        </w:rPr>
        <w:fldChar w:fldCharType="end"/>
      </w:r>
      <w:r>
        <w:rPr>
          <w:rFonts w:cs="Arial" w:ascii="Arial" w:hAnsi="Arial"/>
          <w:sz w:val="22"/>
          <w:szCs w:val="22"/>
        </w:rPr>
        <w:t>, ao qual o CONSUMIDOR se acha vinculado.</w:t>
      </w:r>
    </w:p>
    <w:p>
      <w:pPr>
        <w:pStyle w:val="BodyText"/>
        <w:widowControl w:val="false"/>
        <w:spacing w:lineRule="exact" w:line="240" w:before="360" w:after="120"/>
        <w:ind w:firstLine="1077" w:right="0"/>
        <w:rPr/>
      </w:pPr>
      <w:r>
        <w:rPr>
          <w:rFonts w:cs="Arial" w:ascii="Arial" w:hAnsi="Arial"/>
          <w:sz w:val="22"/>
          <w:szCs w:val="22"/>
        </w:rPr>
        <w:t>E, por estarem de acordo, foi mandado lavrar o presente contrato, do qual extraíram-se 03 (três) vias, para um só efeito, as quais, depois de lidas, são assinadas pelos representantes das partes e pelas testemunhas abaixo.</w:t>
      </w:r>
    </w:p>
    <w:p>
      <w:pPr>
        <w:pStyle w:val="BodyText"/>
        <w:widowControl w:val="false"/>
        <w:spacing w:lineRule="exact" w:line="240" w:before="240" w:after="240"/>
        <w:ind w:firstLine="1077" w:righ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Brasília, XX de XXXXXXXX de XXXX.</w:t>
      </w:r>
    </w:p>
    <w:p>
      <w:pPr>
        <w:pStyle w:val="BodyText"/>
        <w:widowControl w:val="false"/>
        <w:spacing w:lineRule="exact" w:line="240" w:before="240" w:after="240"/>
        <w:ind w:left="374" w:right="0"/>
        <w:rPr>
          <w:rFonts w:ascii="Arial" w:hAnsi="Arial" w:cs="Arial"/>
          <w:b/>
          <w:sz w:val="22"/>
          <w:szCs w:val="22"/>
        </w:rPr>
      </w:pPr>
      <w:r>
        <w:rPr>
          <w:rFonts w:eastAsia="Arial" w:cs="Arial" w:ascii="Arial" w:hAnsi="Arial"/>
          <w:b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CAESB:</w:t>
      </w:r>
    </w:p>
    <w:tbl>
      <w:tblPr>
        <w:tblW w:w="957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0"/>
        <w:gridCol w:w="4797"/>
      </w:tblGrid>
      <w:tr>
        <w:trPr/>
        <w:tc>
          <w:tcPr>
            <w:tcW w:w="4780" w:type="dxa"/>
            <w:tcBorders/>
          </w:tcPr>
          <w:p>
            <w:pPr>
              <w:pStyle w:val="BodyText"/>
              <w:widowControl w:val="false"/>
              <w:snapToGrid w:val="false"/>
              <w:spacing w:lineRule="exact" w:line="24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  <w:p>
            <w:pPr>
              <w:pStyle w:val="BodyText"/>
              <w:widowControl w:val="false"/>
              <w:spacing w:lineRule="exact" w:line="24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MARCUS PEREIRA AUCÉLIO</w:t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Diretor Financeiro e Comercial </w:t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CAESB</w:t>
            </w:r>
          </w:p>
        </w:tc>
        <w:tc>
          <w:tcPr>
            <w:tcW w:w="4797" w:type="dxa"/>
            <w:tcBorders/>
          </w:tcPr>
          <w:p>
            <w:pPr>
              <w:pStyle w:val="BodyText"/>
              <w:widowControl w:val="false"/>
              <w:snapToGrid w:val="false"/>
              <w:spacing w:lineRule="exact" w:line="24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  <w:p>
            <w:pPr>
              <w:pStyle w:val="BodyText"/>
              <w:widowControl w:val="false"/>
              <w:spacing w:lineRule="exact" w:line="24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DIEGO REZENDE FERREIRA</w:t>
            </w:r>
            <w:r>
              <w:rPr>
                <w:rFonts w:cs="Arial" w:ascii="Arial" w:hAnsi="Arial"/>
                <w:sz w:val="22"/>
                <w:szCs w:val="22"/>
              </w:rPr>
              <w:t xml:space="preserve"> Superintendente de Comercialização</w:t>
            </w:r>
          </w:p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CAESB</w:t>
            </w:r>
          </w:p>
        </w:tc>
      </w:tr>
    </w:tbl>
    <w:p>
      <w:pPr>
        <w:pStyle w:val="Normal"/>
        <w:widowControl w:val="false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widowControl w:val="false"/>
        <w:rPr>
          <w:rFonts w:ascii="Arial" w:hAnsi="Arial" w:cs="Arial"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CONSUMIDOR:</w:t>
      </w:r>
    </w:p>
    <w:p>
      <w:pPr>
        <w:pStyle w:val="Normal"/>
        <w:widowControl w:val="false"/>
        <w:spacing w:before="0" w:after="240"/>
        <w:rPr>
          <w:rFonts w:ascii="Arial" w:hAnsi="Arial" w:cs="Arial"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Normal"/>
        <w:widowControl w:val="false"/>
        <w:spacing w:before="0" w:after="240"/>
        <w:rPr>
          <w:rFonts w:ascii="Arial" w:hAnsi="Arial" w:cs="Arial"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TESTEMUNHAS:</w:t>
      </w:r>
    </w:p>
    <w:p>
      <w:pPr>
        <w:pStyle w:val="Normal"/>
        <w:widowControl w:val="false"/>
        <w:spacing w:before="0" w:after="240"/>
        <w:rPr>
          <w:rFonts w:ascii="Arial (W1);Arial" w:hAnsi="Arial (W1);Arial" w:cs="Arial (W1);Arial"/>
          <w:b/>
          <w:sz w:val="20"/>
          <w:szCs w:val="22"/>
        </w:rPr>
      </w:pPr>
      <w:r>
        <w:rPr>
          <w:rFonts w:cs="Arial (W1);Arial" w:ascii="Arial (W1);Arial" w:hAnsi="Arial (W1);Arial"/>
          <w:b/>
          <w:sz w:val="20"/>
          <w:szCs w:val="22"/>
        </w:rPr>
      </w:r>
    </w:p>
    <w:p>
      <w:pPr>
        <w:pStyle w:val="Normal"/>
        <w:widowControl w:val="false"/>
        <w:spacing w:before="0" w:after="240"/>
        <w:rPr>
          <w:rFonts w:ascii="Arial (W1);Arial" w:hAnsi="Arial (W1);Arial" w:cs="Arial (W1);Arial"/>
          <w:b/>
          <w:sz w:val="20"/>
        </w:rPr>
      </w:pPr>
      <w:r>
        <w:rPr>
          <w:rFonts w:cs="Arial (W1);Arial" w:ascii="Arial (W1);Arial" w:hAnsi="Arial (W1);Arial"/>
          <w:b/>
          <w:sz w:val="20"/>
        </w:rPr>
      </w:r>
    </w:p>
    <w:sectPr>
      <w:headerReference w:type="default" r:id="rId2"/>
      <w:footerReference w:type="default" r:id="rId3"/>
      <w:type w:val="nextPage"/>
      <w:pgSz w:w="11906" w:h="16838"/>
      <w:pgMar w:left="1644" w:right="902" w:gutter="0" w:header="709" w:top="1588" w:footer="709" w:bottom="1191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Segoe U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(W1)">
    <w:altName w:val="Arial"/>
    <w:charset w:val="00"/>
    <w:family w:val="swiss"/>
    <w:pitch w:val="variable"/>
  </w:font>
  <w:font w:name="Calibri">
    <w:charset w:val="00"/>
    <w:family w:val="swiss"/>
    <w:pitch w:val="variable"/>
  </w:font>
  <w:font w:name="Arial Narrow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1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9850" cy="174625"/>
              <wp:effectExtent l="0" t="0" r="0" b="0"/>
              <wp:wrapSquare wrapText="bothSides"/>
              <wp:docPr id="2" name="Quadro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850" cy="17462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rPr>
                              <w:rStyle w:val="PageNumber"/>
                              <w:rFonts w:ascii="Arial Narrow" w:hAnsi="Arial Narrow" w:cs="Arial Narrow"/>
                              <w:b/>
                              <w:bCs/>
                            </w:rPr>
                          </w:pPr>
                          <w:r>
                            <w:rPr>
                              <w:rStyle w:val="PageNumber"/>
                              <w:rFonts w:cs="Arial Narrow" w:ascii="Arial Narrow" w:hAnsi="Arial Narrow"/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b/>
                              <w:bCs/>
                              <w:rFonts w:cs="Arial Narrow" w:ascii="Arial Narrow" w:hAnsi="Arial Narrow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b/>
                              <w:bCs/>
                              <w:rFonts w:cs="Arial Narrow" w:ascii="Arial Narrow" w:hAnsi="Arial Narrow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b/>
                              <w:bCs/>
                              <w:rFonts w:cs="Arial Narrow" w:ascii="Arial Narrow" w:hAnsi="Arial Narrow"/>
                            </w:rPr>
                            <w:t>5</w:t>
                          </w:r>
                          <w:r>
                            <w:rPr>
                              <w:rStyle w:val="PageNumber"/>
                              <w:b/>
                              <w:bCs/>
                              <w:rFonts w:cs="Arial Narrow" w:ascii="Arial Narrow" w:hAnsi="Arial Narrow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5.5pt;height:13.75pt;mso-wrap-distance-left:0pt;mso-wrap-distance-right:0pt;mso-wrap-distance-top:0pt;mso-wrap-distance-bottom:0pt;margin-top:0.05pt;mso-position-vertical-relative:text;margin-left:231.2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rPr>
                        <w:rStyle w:val="PageNumber"/>
                        <w:rFonts w:ascii="Arial Narrow" w:hAnsi="Arial Narrow" w:cs="Arial Narrow"/>
                        <w:b/>
                        <w:bCs/>
                      </w:rPr>
                    </w:pPr>
                    <w:r>
                      <w:rPr>
                        <w:rStyle w:val="PageNumber"/>
                        <w:rFonts w:cs="Arial Narrow" w:ascii="Arial Narrow" w:hAnsi="Arial Narrow"/>
                        <w:b/>
                        <w:bCs/>
                      </w:rPr>
                      <w:fldChar w:fldCharType="begin"/>
                    </w:r>
                    <w:r>
                      <w:rPr>
                        <w:rStyle w:val="PageNumber"/>
                        <w:b/>
                        <w:bCs/>
                        <w:rFonts w:cs="Arial Narrow" w:ascii="Arial Narrow" w:hAnsi="Arial Narrow"/>
                      </w:rPr>
                      <w:instrText xml:space="preserve"> PAGE </w:instrText>
                    </w:r>
                    <w:r>
                      <w:rPr>
                        <w:rStyle w:val="PageNumber"/>
                        <w:b/>
                        <w:bCs/>
                        <w:rFonts w:cs="Arial Narrow" w:ascii="Arial Narrow" w:hAnsi="Arial Narrow"/>
                      </w:rPr>
                      <w:fldChar w:fldCharType="separate"/>
                    </w:r>
                    <w:r>
                      <w:rPr>
                        <w:rStyle w:val="PageNumber"/>
                        <w:b/>
                        <w:bCs/>
                        <w:rFonts w:cs="Arial Narrow" w:ascii="Arial Narrow" w:hAnsi="Arial Narrow"/>
                      </w:rPr>
                      <w:t>5</w:t>
                    </w:r>
                    <w:r>
                      <w:rPr>
                        <w:rStyle w:val="PageNumber"/>
                        <w:b/>
                        <w:bCs/>
                        <w:rFonts w:cs="Arial Narrow" w:ascii="Arial Narrow" w:hAnsi="Arial Narrow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sz w:val="20"/>
        <w:lang w:val="pt-BR" w:eastAsia="pt-BR"/>
      </w:rPr>
    </w:pPr>
    <w:r>
      <w:rPr>
        <w:sz w:val="20"/>
        <w:lang w:val="pt-BR" w:eastAsia="pt-BR"/>
      </w:rPr>
      <w:pict>
        <v:shapetype id="_x0000_t172" coordsize="21600,21600" o:spt="172" adj="12000" path="m0@0l21600,m,21600l21600@1e">
          <v:formulas>
            <v:f eqn="val #0"/>
            <v:f eqn="sum 21600 0 @0"/>
            <v:f eqn="prod #0 1 2"/>
            <v:f eqn="sum @2 10800 0"/>
            <v:f eqn="prod @1 1 2"/>
            <v:f eqn="sum @4 10800 0"/>
          </v:formulas>
          <v:path textpathok="t" o:connecttype="custom" o:connectlocs="10800,@2;0,@3;10800,@5;21600,@4" o:connectangles="270,180,90,0"/>
          <v:textpath on="t" fitshape="t"/>
          <v:handles>
            <v:h position="topLeft,#0" yrange="0,15429"/>
          </v:handles>
          <o:lock v:ext="edit" text="t" shapetype="t"/>
        </v:shapetype>
        <v:shape id="shape_0" adj="12000" fillcolor="silver" stroked="f" o:allowincell="f" style="position:absolute;margin-left:-6.95pt;margin-top:280.55pt;width:481.85pt;height:141.7pt;mso-wrap-style:none;v-text-anchor:middle;mso-position-horizontal:center;mso-position-vertical:center;mso-position-vertical-relative:margin" type="_x0000_t172">
          <v:path textpathok="t"/>
          <v:textpath on="t" fitshape="t" string="MINUTA" style="font-family:&quot;Arial&quot;;font-size:96pt" trim="t"/>
          <v:fill o:detectmouseclick="t" type="solid" color2="#3f3f3f"/>
          <v:stroke color="#3465a4" joinstyle="round" endcap="flat"/>
          <w10:wrap type="none"/>
        </v:shape>
      </w:pic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pStyle w:val="Heading2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1713"/>
        </w:tabs>
        <w:ind w:left="1713" w:hanging="1005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BreakWrappedTables/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4"/>
        <w:szCs w:val="24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pt-BR" w:bidi="ar-SA" w:eastAsia="zh-CN"/>
    </w:rPr>
  </w:style>
  <w:style w:type="paragraph" w:styleId="Heading2">
    <w:name w:val="Heading 2"/>
    <w:basedOn w:val="Normal"/>
    <w:next w:val="Normal"/>
    <w:qFormat/>
    <w:pPr>
      <w:keepNext w:val="true"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character" w:styleId="WW8Num1z0">
    <w:name w:val="WW8Num1z0"/>
    <w:qFormat/>
    <w:rPr/>
  </w:style>
  <w:style w:type="character" w:styleId="Fontepargpadro">
    <w:name w:val="Fonte parág. padrão"/>
    <w:qFormat/>
    <w:rPr/>
  </w:style>
  <w:style w:type="character" w:styleId="PageNumber">
    <w:name w:val="Page Number"/>
    <w:basedOn w:val="Fontepargpadro"/>
    <w:rPr/>
  </w:style>
  <w:style w:type="character" w:styleId="TextodebaloChar">
    <w:name w:val="Texto de balão Char"/>
    <w:qFormat/>
    <w:rPr>
      <w:rFonts w:ascii="Segoe UI" w:hAnsi="Segoe UI" w:cs="Segoe UI"/>
      <w:sz w:val="18"/>
      <w:szCs w:val="18"/>
    </w:rPr>
  </w:style>
  <w:style w:type="character" w:styleId="FontStyle28">
    <w:name w:val="Font Style28"/>
    <w:qFormat/>
    <w:rPr>
      <w:rFonts w:ascii="Arial" w:hAnsi="Arial" w:cs="Arial"/>
      <w:sz w:val="14"/>
      <w:szCs w:val="14"/>
    </w:rPr>
  </w:style>
  <w:style w:type="character" w:styleId="CorpodetextoChar">
    <w:name w:val="Corpo de texto Char"/>
    <w:qFormat/>
    <w:rPr>
      <w:sz w:val="24"/>
      <w:szCs w:val="24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BodyTextIndent">
    <w:name w:val="Body Text Indent"/>
    <w:basedOn w:val="Normal"/>
    <w:pPr>
      <w:ind w:hanging="0" w:left="2880" w:right="0"/>
      <w:jc w:val="both"/>
    </w:pPr>
    <w:rPr/>
  </w:style>
  <w:style w:type="paragraph" w:styleId="CabealhoeRodap">
    <w:name w:val="Cabeçalho e Rodapé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8"/>
        <w:tab w:val="center" w:pos="4419" w:leader="none"/>
        <w:tab w:val="right" w:pos="8838" w:leader="none"/>
      </w:tabs>
    </w:pPr>
    <w:rPr/>
  </w:style>
  <w:style w:type="paragraph" w:styleId="Footer">
    <w:name w:val="Footer"/>
    <w:basedOn w:val="Normal"/>
    <w:pPr>
      <w:tabs>
        <w:tab w:val="clear" w:pos="708"/>
        <w:tab w:val="center" w:pos="4419" w:leader="none"/>
        <w:tab w:val="right" w:pos="8838" w:leader="none"/>
      </w:tabs>
    </w:pPr>
    <w:rPr/>
  </w:style>
  <w:style w:type="paragraph" w:styleId="Textodebalo">
    <w:name w:val="Texto de balão"/>
    <w:basedOn w:val="Normal"/>
    <w:qFormat/>
    <w:pPr/>
    <w:rPr>
      <w:rFonts w:ascii="Segoe UI" w:hAnsi="Segoe UI" w:cs="Segoe UI"/>
      <w:sz w:val="18"/>
      <w:szCs w:val="18"/>
    </w:rPr>
  </w:style>
  <w:style w:type="paragraph" w:styleId="Style15">
    <w:name w:val="Style15"/>
    <w:basedOn w:val="Normal"/>
    <w:qFormat/>
    <w:pPr>
      <w:widowControl w:val="false"/>
      <w:autoSpaceDE w:val="false"/>
      <w:spacing w:lineRule="exact" w:line="167"/>
      <w:jc w:val="both"/>
    </w:pPr>
    <w:rPr>
      <w:rFonts w:ascii="Arial" w:hAnsi="Arial" w:cs="Arial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Contedodoquadro">
    <w:name w:val="Conteúdo do quadro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</TotalTime>
  <Application>LibreOffice/24.2.1.2$Windows_X86_64 LibreOffice_project/db4def46b0453cc22e2d0305797cf981b68ef5ac</Application>
  <AppVersion>15.0000</AppVersion>
  <Pages>5</Pages>
  <Words>1744</Words>
  <Characters>10178</Characters>
  <CharactersWithSpaces>11897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2019-12-30T14:55:00Z</dcterms:created>
  <dc:creator>WslaineRibeiro</dc:creator>
  <dc:description/>
  <cp:keywords/>
  <dc:language>pt-BR</dc:language>
  <cp:lastModifiedBy>Márcio de Sousa Camargos</cp:lastModifiedBy>
  <cp:lastPrinted>2016-11-23T16:19:00Z</cp:lastPrinted>
  <dcterms:modified xsi:type="dcterms:W3CDTF">2025-02-28T08:47:00Z</dcterms:modified>
  <cp:revision>17</cp:revision>
  <dc:subject/>
  <dc:title>CONTRATO Nº __________ QUE ENTRE SI CELEBRAM A __________, POR INTERMÉDIO DA__, E A COMPANHIA DE SANEAMENTO AMBIENTAL DO DISTR</dc:title>
</cp:coreProperties>
</file>